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402" w:leftChars="-201" w:right="-800" w:rightChars="-400" w:firstLine="5" w:firstLineChars="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0727"/>
      <w:bookmarkStart w:id="1" w:name="_Toc10019"/>
      <w:bookmarkStart w:id="2" w:name="_Toc12130"/>
      <w:r>
        <w:rPr>
          <w:rFonts w:hint="default" w:ascii="Times New Roman" w:hAnsi="Times New Roman"/>
          <w:b/>
          <w:bCs/>
          <w:i w:val="0"/>
          <w:iCs w:val="0"/>
          <w:color w:val="2E75B6" w:themeColor="accent1" w:themeShade="BF"/>
          <w:sz w:val="26"/>
          <w:szCs w:val="26"/>
          <w:lang w:val="en-US"/>
        </w:rPr>
        <w:t>MẪU KẾ HOẠCH AN TOÀN VỆ SINH LAO ĐỘNG</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80" w:after="180"/>
        <w:ind w:right="-800" w:rightChars="-400" w:firstLine="2860" w:firstLineChars="1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98" w:leftChars="-399" w:right="-800" w:rightChars="-400" w:firstLine="287" w:firstLineChars="11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KẾ HOẠCH AN TOÀN LAO ĐỘNG, VỆ SINH LAO ĐỘNG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Căn cứ Điều 76 của Luật An toàn Vệ sinh lao động năm 2015, Công ty……………….(“</w:t>
      </w:r>
      <w:r>
        <w:rPr>
          <w:rFonts w:hint="default" w:ascii="Times New Roman" w:hAnsi="Times New Roman"/>
          <w:b/>
          <w:bCs/>
          <w:i w:val="0"/>
          <w:iCs w:val="0"/>
          <w:color w:val="000000" w:themeColor="text1"/>
          <w:sz w:val="26"/>
          <w:szCs w:val="26"/>
          <w:lang w:val="en-US"/>
          <w14:textFill>
            <w14:solidFill>
              <w14:schemeClr w14:val="tx1"/>
            </w14:solidFill>
          </w14:textFill>
        </w:rPr>
        <w:t xml:space="preserve">Công ty”) </w:t>
      </w:r>
      <w:r>
        <w:rPr>
          <w:rFonts w:hint="default" w:ascii="Times New Roman" w:hAnsi="Times New Roman"/>
          <w:b w:val="0"/>
          <w:bCs w:val="0"/>
          <w:i w:val="0"/>
          <w:iCs w:val="0"/>
          <w:color w:val="000000" w:themeColor="text1"/>
          <w:sz w:val="26"/>
          <w:szCs w:val="26"/>
          <w:lang w:val="en-US"/>
          <w14:textFill>
            <w14:solidFill>
              <w14:schemeClr w14:val="tx1"/>
            </w14:solidFill>
          </w14:textFill>
        </w:rPr>
        <w:t>tiến hành lập kế hoạch thực hiện công tác an toàn vệ sinh lao động để đảm bảo an toàn vệ sinh lao động cho người lao động làm việc tại Công ty với các nội dung như sau:</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180" w:after="180"/>
        <w:ind w:left="5" w:leftChars="0" w:right="-800" w:rightChars="-400" w:hanging="405"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Biện pháp kỹ thuật an toàn lao động và phòng chống cháy, nổ</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Kiểm tra định kỳ công tác phòng cháy chữa cháy </w:t>
      </w:r>
      <w:r>
        <w:rPr>
          <w:rFonts w:hint="default" w:ascii="Times New Roman" w:hAnsi="Times New Roman"/>
          <w:b/>
          <w:bCs/>
          <w:i w:val="0"/>
          <w:iCs w:val="0"/>
          <w:color w:val="000000" w:themeColor="text1"/>
          <w:sz w:val="26"/>
          <w:szCs w:val="26"/>
          <w:lang w:val="en-US"/>
          <w14:textFill>
            <w14:solidFill>
              <w14:schemeClr w14:val="tx1"/>
            </w14:solidFill>
          </w14:textFill>
        </w:rPr>
        <w:t xml:space="preserve">(“PCCC”) </w:t>
      </w:r>
      <w:r>
        <w:rPr>
          <w:rFonts w:hint="default" w:ascii="Times New Roman" w:hAnsi="Times New Roman"/>
          <w:b w:val="0"/>
          <w:bCs w:val="0"/>
          <w:i w:val="0"/>
          <w:iCs w:val="0"/>
          <w:color w:val="000000" w:themeColor="text1"/>
          <w:sz w:val="26"/>
          <w:szCs w:val="26"/>
          <w:lang w:val="en-US"/>
          <w14:textFill>
            <w14:solidFill>
              <w14:schemeClr w14:val="tx1"/>
            </w14:solidFill>
          </w14:textFill>
        </w:rPr>
        <w:t>và các thiết bị PCCC thông qua việc thực hiện và lưu trữ hồ sơ đầy đủ mỗi tháng/lần – [Nêu Phòng, Ban cụ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diễn tập, thoát hiểm định kỳ [03] lần/năm, trong đó bao gồm một lần diễn tập có sự hướng dẫn, giám sát của Cảnh sát PCCC – [Nêu Phòng, Ban cụ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thực tập PCCC nội bộ theo định kỳ – [Nêu Phòng, Ban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thay thế các đèn thoát hiểm, bảng chỉ đường thoát hiểm cũ, mờ và vẽ lại mũi tên thoát hiểm, mũi tên chỉ bình chữa cháy, vạch vàng phân chia khu vực bị mờ – [Nêu Phòng, Ban cụ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180" w:after="1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Theo dõi, nạp bình chữa cháy và bảo dưỡng thiết bị PCCC sau mỗi lần sử dụng hoặc định kỳ [03] tháng một lần – [Nếu Phòng, Ban cụ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80" w:after="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bảo dưỡng hệ thống báo cháy tự động như thiết bị đầu báo khói, hệ thống loa báo động định kỳ [06] tháng một</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lần – [Nêu Phòng, Ban cụ thể chịu trách nhiệm thực hiện).</w:t>
      </w:r>
    </w:p>
    <w:p>
      <w:pPr>
        <w:keepNext w:val="0"/>
        <w:keepLines w:val="0"/>
        <w:pageBreakBefore w:val="0"/>
        <w:widowControl/>
        <w:numPr>
          <w:ilvl w:val="0"/>
          <w:numId w:val="2"/>
        </w:numPr>
        <w:kinsoku/>
        <w:wordWrap/>
        <w:overflowPunct/>
        <w:topLinePunct w:val="0"/>
        <w:autoSpaceDE/>
        <w:autoSpaceDN/>
        <w:bidi w:val="0"/>
        <w:adjustRightInd/>
        <w:snapToGrid/>
        <w:spacing w:before="80" w:after="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tập huấn công tác PCCC và cấp chứng nhận theo định kỳ hằng năm do Cảnh sát PCCC tại địa phương thực hiện – [Nêu Phòng, Ban cụ thể chịu trách nhiệm triển khai).</w:t>
      </w:r>
    </w:p>
    <w:p>
      <w:pPr>
        <w:keepNext w:val="0"/>
        <w:keepLines w:val="0"/>
        <w:pageBreakBefore w:val="0"/>
        <w:widowControl/>
        <w:numPr>
          <w:ilvl w:val="0"/>
          <w:numId w:val="2"/>
        </w:numPr>
        <w:kinsoku/>
        <w:wordWrap/>
        <w:overflowPunct/>
        <w:topLinePunct w:val="0"/>
        <w:autoSpaceDE/>
        <w:autoSpaceDN/>
        <w:bidi w:val="0"/>
        <w:adjustRightInd/>
        <w:snapToGrid/>
        <w:spacing w:before="80" w:after="80"/>
        <w:ind w:left="13" w:leftChars="-200" w:right="-800" w:rightChars="-400" w:hanging="413" w:hangingChars="15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biện pháp khác, nếu có].</w:t>
      </w:r>
    </w:p>
    <w:p>
      <w:pPr>
        <w:keepNext w:val="0"/>
        <w:keepLines w:val="0"/>
        <w:pageBreakBefore w:val="0"/>
        <w:widowControl/>
        <w:numPr>
          <w:ilvl w:val="0"/>
          <w:numId w:val="1"/>
        </w:numPr>
        <w:tabs>
          <w:tab w:val="left" w:pos="0"/>
          <w:tab w:val="clear" w:pos="425"/>
        </w:tabs>
        <w:kinsoku/>
        <w:wordWrap/>
        <w:overflowPunct/>
        <w:topLinePunct w:val="0"/>
        <w:autoSpaceDE/>
        <w:autoSpaceDN/>
        <w:bidi w:val="0"/>
        <w:adjustRightInd/>
        <w:snapToGrid/>
        <w:spacing w:before="80" w:after="80"/>
        <w:ind w:left="5" w:leftChars="0" w:right="-800" w:rightChars="-400" w:hanging="405"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Biện pháp về kỹ thuật vệ sinh lao động, phòng, chống yếu tố có hại và cải thiện điều kiện lao động</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Hằng tuần kiểm tra an toàn, vệ sinh và môi trường lao  động tại Công ty – [Nếu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Lập các báo cáo điều tra tai nạn lao động (nếu có) và báo cáo tình hình tai nạn lao động cho cơ quan Nhà nước có thẩm quyền - [Nêu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Liên hệ với các tổ chức có chức năng để lập các báo cáo kết quả quan trắc môi trường, báo cáo quản lý chất thải nguy hại, nếu áp dụng để gửi về cơ quan quản lý Nhà nước có thẩm quyền theo quy định của pháp luật – [Nêu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Theo dõi kế hoạch và thực hiện việc kiểm định định kỳ đối với máy móc, thiết bị có yêu cầu nghiêm ngặt về an toàn lao động (nếu áp dụng) - [Nêu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Liên hệ các tổ chức có chức năng thực hiện việc đo kiểm môi trường lao động hằng năm theo quy định của pháp luật an toàn vệ sinh lao động - [Nếu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tự đánh giá tình hình an toàn lao động và tiến hành biện pháp khắc phục - [Nêu Phòng, Ban cụ thể chịu trách nhiệm thực hiện].</w:t>
      </w:r>
    </w:p>
    <w:p>
      <w:pPr>
        <w:keepNext w:val="0"/>
        <w:keepLines w:val="0"/>
        <w:pageBreakBefore w:val="0"/>
        <w:widowControl/>
        <w:numPr>
          <w:ilvl w:val="0"/>
          <w:numId w:val="3"/>
        </w:numPr>
        <w:kinsoku/>
        <w:wordWrap/>
        <w:overflowPunct/>
        <w:topLinePunct w:val="0"/>
        <w:autoSpaceDE/>
        <w:autoSpaceDN/>
        <w:bidi w:val="0"/>
        <w:adjustRightInd/>
        <w:snapToGrid/>
        <w:spacing w:before="80" w:after="80"/>
        <w:ind w:left="397" w:leftChars="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biện pháp cần thiết khác, nếu có].</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80" w:after="80"/>
        <w:ind w:left="5" w:leftChars="0" w:right="-800" w:rightChars="-400" w:hanging="405"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Trang bị, cấp phương tiện bảo vệ cá nhân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Bảo đảm trang bị bảo hộ lao động cho người lao động được đầy đủ, đúng loại trong việc cấp phát, sử dụng và dự trữ sẵn sàng theo quy định của pháp luật lao động - [Nêu Phòng, Ban cụ thể chịu trách nhiệm thực hiện.</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spacing w:before="80" w:after="80"/>
        <w:ind w:left="425" w:leftChars="0" w:right="-800" w:rightChars="-400" w:hanging="825"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Chăm sóc sức khỏe người lao động</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khám sức khỏe định kỳ cho người lao động hằng năm;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thì được khám sức khỏe ít nhất [06] tháng một lần – [Nêu Phòng, Ban cụ thể chịu trách nhiệm thực hiện].</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Định kỳ hằng tuần kiểm tra danh mục, số lượng, hạn sử dụng và bổ sung tủ thuốc sơ cấp cứu tại nơi làm việc cho người lao động – [Nêu Phòng, Ban cụ thể chịu trách nhiệm thực hiện].</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và ký lại hợp đồng hỗ trợ dịch vụ y tế theo định kỳ hằng năm nếu hết hạn – [Nếu Phòng, Ban cụ thể chịu trách - nhiệm thực hiện].</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Kiểm tra hằng ngày các vấn đề liên quan đến an toàn vệ sinh thực phẩm tại nhà bếp, nhà ăn và ghi nhận vào sổ theo dõi 95 có ký xác nhận của đại diện nhà ăn. Nếu phát hiện những trường hợp có nguy cơ ảnh hưởng đến sức khỏe của người lao động, bộ phận phụ trách có trách nhiệm báo cáo ngay về Phòng (an toàn lao động) để có biện pháp xử lý kịp thời - [Nêu Phòng, Ban cụ thể chịu trách nhiệm thực hiện).</w:t>
      </w:r>
    </w:p>
    <w:p>
      <w:pPr>
        <w:keepNext w:val="0"/>
        <w:keepLines w:val="0"/>
        <w:pageBreakBefore w:val="0"/>
        <w:widowControl/>
        <w:numPr>
          <w:ilvl w:val="0"/>
          <w:numId w:val="4"/>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hoạt động khác, nếu có].</w:t>
      </w:r>
    </w:p>
    <w:p>
      <w:pPr>
        <w:keepNext w:val="0"/>
        <w:keepLines w:val="0"/>
        <w:pageBreakBefore w:val="0"/>
        <w:widowControl/>
        <w:numPr>
          <w:ilvl w:val="0"/>
          <w:numId w:val="1"/>
        </w:numPr>
        <w:tabs>
          <w:tab w:val="left" w:pos="0"/>
          <w:tab w:val="clear" w:pos="425"/>
        </w:tabs>
        <w:kinsoku/>
        <w:wordWrap/>
        <w:overflowPunct/>
        <w:topLinePunct w:val="0"/>
        <w:autoSpaceDE/>
        <w:autoSpaceDN/>
        <w:bidi w:val="0"/>
        <w:adjustRightInd/>
        <w:snapToGrid/>
        <w:spacing w:before="80" w:after="80"/>
        <w:ind w:left="5" w:leftChars="0" w:right="-800" w:rightChars="-400" w:hanging="405" w:firstLineChars="0"/>
        <w:jc w:val="both"/>
        <w:textAlignment w:val="auto"/>
        <w:rPr>
          <w:rFonts w:hint="default" w:ascii="Times New Roman" w:hAnsi="Times New Roman"/>
          <w:b/>
          <w:bCs/>
          <w:i w:val="0"/>
          <w:iCs w:val="0"/>
          <w:color w:val="2E75B6" w:themeColor="accent1" w:themeShade="BF"/>
          <w:sz w:val="26"/>
          <w:szCs w:val="26"/>
          <w:lang w:val="en-US"/>
        </w:rPr>
      </w:pPr>
      <w:r>
        <w:rPr>
          <w:rFonts w:hint="default" w:ascii="Times New Roman" w:hAnsi="Times New Roman"/>
          <w:b/>
          <w:bCs/>
          <w:i w:val="0"/>
          <w:iCs w:val="0"/>
          <w:color w:val="2E75B6" w:themeColor="accent1" w:themeShade="BF"/>
          <w:sz w:val="26"/>
          <w:szCs w:val="26"/>
          <w:lang w:val="en-US"/>
        </w:rPr>
        <w:t>Tuyên truyền giáo dục, huấn luyện về an toàn vệ sinh lao động</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Đảm bảo 100% người lao động mới vào làm việc tại Công ty được đào tạo kiến thức cơ bản được quy định trong nội quy của Công ty tại nơi làm việc, nhà máy, các chính sách về an toàn vệ sinh lao động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huấn luyện định kỳ về an toàn vệ sinh lao động cho người động theo quy định của pháp luật về an toàn vệ sinh lao động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Thuê đơn vị dịch vụ bên ngoài có chức năng đào tạo PCCC cho đội PCCC của Công ty – (Nếu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Tổ chức lớp tập huấn PCCC nội bộ hằng năm cho người lao động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Mua, dán các áp phích, tranh vẽ về tuyên truyền sử dụng các thiết bị bảo hộ cá nhân an toàn lao động, vệ sinh lao động. bảo vệ môi trường tại nơi làm việc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Liên hệ, thuê đơn vị dịch vụ bên ngoài mở lớp đào tạo sơ cấp cứu tại nơi làm việc để xử lý các sự cố, ứng cứu khẩn cấp tại nơi làm việc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Theo dõi, sắp xếp cho thành viên của mạng lưới an toàn vệ sinh viên, người lao động vận hành các thiết bị máy móc có yêu cầu nghiêm ngặt về an toàn lao động tham gia huấn luyện cấp giấy chứng nhận, chứng chỉ, huấn luyện định kỳ theo thời hạn của chứng nhận, chứng nhận - [Nêu Phòng Ban cụ thể chịu trách nhiệm thực hiện].</w:t>
      </w:r>
    </w:p>
    <w:p>
      <w:pPr>
        <w:keepNext w:val="0"/>
        <w:keepLines w:val="0"/>
        <w:pageBreakBefore w:val="0"/>
        <w:widowControl/>
        <w:numPr>
          <w:ilvl w:val="0"/>
          <w:numId w:val="5"/>
        </w:numPr>
        <w:kinsoku/>
        <w:wordWrap/>
        <w:overflowPunct/>
        <w:topLinePunct w:val="0"/>
        <w:autoSpaceDE/>
        <w:autoSpaceDN/>
        <w:bidi w:val="0"/>
        <w:adjustRightInd/>
        <w:snapToGrid/>
        <w:spacing w:before="80" w:after="8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[Các hoạt động tuyên truyền khác, nếu có].</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Trên đây là kế hoạch chi tiết thực hiện công tác an toàn vệ sinh lao động tại nơi làm việc cho người lao động. Người lao động và các bộ phận liên quan của Công ty có trách nhiệm thực hiện theo đúng kế hoạch để ra và báo cáo kết quả cho người có thẩm quyền phụ trách của Công ty.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gian tổ chức thực hiện Kế hoạch bắt đầu từ tháng 01 năm…….. đến hết tháng 12 năm ……..</w:t>
      </w:r>
    </w:p>
    <w:p>
      <w:pPr>
        <w:ind w:firstLine="1958" w:firstLineChars="750"/>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286" w:firstLineChars="11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3920365568" behindDoc="0" locked="0" layoutInCell="1" allowOverlap="1">
                <wp:simplePos x="0" y="0"/>
                <wp:positionH relativeFrom="column">
                  <wp:posOffset>1520825</wp:posOffset>
                </wp:positionH>
                <wp:positionV relativeFrom="paragraph">
                  <wp:posOffset>29845</wp:posOffset>
                </wp:positionV>
                <wp:extent cx="2571750" cy="12700"/>
                <wp:effectExtent l="0" t="4445" r="6350" b="8255"/>
                <wp:wrapNone/>
                <wp:docPr id="420" name="Straight Connector 420"/>
                <wp:cNvGraphicFramePr/>
                <a:graphic xmlns:a="http://schemas.openxmlformats.org/drawingml/2006/main">
                  <a:graphicData uri="http://schemas.microsoft.com/office/word/2010/wordprocessingShape">
                    <wps:wsp>
                      <wps:cNvCnPr/>
                      <wps:spPr>
                        <a:xfrm>
                          <a:off x="2536825" y="6457950"/>
                          <a:ext cx="2571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9.75pt;margin-top:2.35pt;height:1pt;width:202.5pt;z-index:-374601728;mso-width-relative:page;mso-height-relative:page;" filled="f" stroked="t" coordsize="21600,21600" o:gfxdata="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e4RQ+1QAAAAcBAAAPAAAAAAAAAAEAIAAAACIAAABkcnMvZG93bnJl&#10;di54bWxQSwECFAAUAAAACACHTuJAGLTaWscBAAB6AwAADgAAAAAAAAABACAAAAAkAQAAZHJzL2Uy&#10;b0RvYy54bWxQSwUGAAAAAAYABgBZAQAAXQ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80" w:after="80"/>
        <w:ind w:left="-798" w:leftChars="-399" w:right="-800" w:rightChars="-400" w:firstLine="4690" w:firstLineChars="180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ind w:firstLine="3510" w:firstLineChars="1350"/>
      </w:pPr>
      <w:r>
        <w:rPr>
          <w:rFonts w:hint="default" w:ascii="Times New Roman" w:hAnsi="Times New Roman"/>
          <w:b w:val="0"/>
          <w:bCs w:val="0"/>
          <w:i w:val="0"/>
          <w:iCs w:val="0"/>
          <w:color w:val="000000" w:themeColor="text1"/>
          <w:sz w:val="26"/>
          <w:szCs w:val="26"/>
          <w:lang w:val="en-US"/>
          <w14:textFill>
            <w14:solidFill>
              <w14:schemeClr w14:val="tx1"/>
            </w14:solidFill>
          </w14:textFill>
        </w:rPr>
        <w:t>[Tổng]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2E37A"/>
    <w:multiLevelType w:val="singleLevel"/>
    <w:tmpl w:val="E832E37A"/>
    <w:lvl w:ilvl="0" w:tentative="0">
      <w:start w:val="1"/>
      <w:numFmt w:val="decimal"/>
      <w:suff w:val="space"/>
      <w:lvlText w:val="%1."/>
      <w:lvlJc w:val="left"/>
    </w:lvl>
  </w:abstractNum>
  <w:abstractNum w:abstractNumId="1">
    <w:nsid w:val="045D2F9C"/>
    <w:multiLevelType w:val="singleLevel"/>
    <w:tmpl w:val="045D2F9C"/>
    <w:lvl w:ilvl="0" w:tentative="0">
      <w:start w:val="1"/>
      <w:numFmt w:val="decimal"/>
      <w:suff w:val="space"/>
      <w:lvlText w:val="%1."/>
      <w:lvlJc w:val="left"/>
    </w:lvl>
  </w:abstractNum>
  <w:abstractNum w:abstractNumId="2">
    <w:nsid w:val="40AE026F"/>
    <w:multiLevelType w:val="singleLevel"/>
    <w:tmpl w:val="40AE026F"/>
    <w:lvl w:ilvl="0" w:tentative="0">
      <w:start w:val="1"/>
      <w:numFmt w:val="decimal"/>
      <w:suff w:val="space"/>
      <w:lvlText w:val="%1."/>
      <w:lvlJc w:val="left"/>
    </w:lvl>
  </w:abstractNum>
  <w:abstractNum w:abstractNumId="3">
    <w:nsid w:val="4990B373"/>
    <w:multiLevelType w:val="singleLevel"/>
    <w:tmpl w:val="4990B373"/>
    <w:lvl w:ilvl="0" w:tentative="0">
      <w:start w:val="1"/>
      <w:numFmt w:val="upperRoman"/>
      <w:lvlText w:val="%1."/>
      <w:lvlJc w:val="left"/>
      <w:pPr>
        <w:tabs>
          <w:tab w:val="left" w:pos="425"/>
        </w:tabs>
        <w:ind w:left="425" w:leftChars="0" w:hanging="425" w:firstLineChars="0"/>
      </w:pPr>
      <w:rPr>
        <w:rFonts w:hint="default"/>
      </w:rPr>
    </w:lvl>
  </w:abstractNum>
  <w:abstractNum w:abstractNumId="4">
    <w:nsid w:val="6C367A5D"/>
    <w:multiLevelType w:val="singleLevel"/>
    <w:tmpl w:val="6C367A5D"/>
    <w:lvl w:ilvl="0" w:tentative="0">
      <w:start w:val="1"/>
      <w:numFmt w:val="decimal"/>
      <w:suff w:val="space"/>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813CC"/>
    <w:rsid w:val="73D81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2023-07-07T10:13:00Z</dcterms:created>
  <dc:creator>Hảo Thanh</dc:creator>
  <cp:lastModifiedBy>Hảo Thanh</cp:lastModifiedBy>
  <dcterms:modified xsi:type="dcterms:W3CDTF">2023-07-07T10:14:41Z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